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340"/>
        <w:gridCol w:w="2340"/>
        <w:gridCol w:w="2340"/>
        <w:gridCol w:w="2340"/>
      </w:tblGrid>
      <w:tr w:rsidR="0092201A" w14:paraId="4E041CED" w14:textId="77777777">
        <w:tc>
          <w:tcPr>
            <w:tcW w:w="2340" w:type="dxa"/>
            <w:tcBorders>
              <w:top w:val="none" w:sz="0" w:space="0" w:color="FFFFFF"/>
              <w:left w:val="none" w:sz="0" w:space="0" w:color="FFFFFF"/>
              <w:bottom w:val="none" w:sz="0" w:space="0" w:color="FFFFFF"/>
              <w:right w:val="none" w:sz="0" w:space="0" w:color="FFFFFF"/>
            </w:tcBorders>
            <w:tcMar>
              <w:top w:w="60" w:type="dxa"/>
              <w:left w:w="80" w:type="dxa"/>
              <w:bottom w:w="60" w:type="dxa"/>
              <w:right w:w="80" w:type="dxa"/>
            </w:tcMar>
            <w:vAlign w:val="center"/>
          </w:tcPr>
          <w:p w14:paraId="7AA6EA0C" w14:textId="77777777" w:rsidR="0092201A" w:rsidRDefault="00300D78">
            <w:pPr>
              <w:jc w:val="center"/>
            </w:pPr>
            <w:r>
              <w:rPr>
                <w:noProof/>
              </w:rPr>
              <w:drawing>
                <wp:inline distT="0" distB="0" distL="0" distR="0" wp14:anchorId="75BD0B1B" wp14:editId="0BDB3572">
                  <wp:extent cx="672028" cy="672028"/>
                  <wp:effectExtent l="0" t="0" r="0" b="0"/>
                  <wp:docPr id="1" nam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678452" cy="678452"/>
                          </a:xfrm>
                          <a:prstGeom prst="rect">
                            <a:avLst/>
                          </a:prstGeom>
                        </pic:spPr>
                      </pic:pic>
                    </a:graphicData>
                  </a:graphic>
                </wp:inline>
              </w:drawing>
            </w:r>
          </w:p>
        </w:tc>
        <w:tc>
          <w:tcPr>
            <w:tcW w:w="2340" w:type="dxa"/>
            <w:tcBorders>
              <w:top w:val="none" w:sz="0" w:space="0" w:color="FFFFFF"/>
              <w:left w:val="none" w:sz="0" w:space="0" w:color="FFFFFF"/>
              <w:bottom w:val="none" w:sz="0" w:space="0" w:color="FFFFFF"/>
              <w:right w:val="none" w:sz="0" w:space="0" w:color="FFFFFF"/>
            </w:tcBorders>
            <w:tcMar>
              <w:top w:w="60" w:type="dxa"/>
              <w:left w:w="80" w:type="dxa"/>
              <w:bottom w:w="60" w:type="dxa"/>
              <w:right w:w="80" w:type="dxa"/>
            </w:tcMar>
            <w:vAlign w:val="center"/>
          </w:tcPr>
          <w:p w14:paraId="706DBA1B" w14:textId="77777777" w:rsidR="0092201A" w:rsidRDefault="00300D78">
            <w:pPr>
              <w:jc w:val="center"/>
            </w:pPr>
            <w:r>
              <w:rPr>
                <w:noProof/>
              </w:rPr>
              <w:drawing>
                <wp:inline distT="0" distB="0" distL="0" distR="0" wp14:anchorId="2E87EFCA" wp14:editId="3006F179">
                  <wp:extent cx="1381125" cy="523875"/>
                  <wp:effectExtent l="0" t="0" r="0" b="0"/>
                  <wp:docPr id="1817743562" name="logo" descr="logo"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1381125" cy="523875"/>
                          </a:xfrm>
                          <a:prstGeom prst="rect">
                            <a:avLst/>
                          </a:prstGeom>
                        </pic:spPr>
                      </pic:pic>
                    </a:graphicData>
                  </a:graphic>
                </wp:inline>
              </w:drawing>
            </w:r>
          </w:p>
        </w:tc>
        <w:tc>
          <w:tcPr>
            <w:tcW w:w="2340" w:type="dxa"/>
            <w:tcBorders>
              <w:top w:val="none" w:sz="0" w:space="0" w:color="FFFFFF"/>
              <w:left w:val="none" w:sz="0" w:space="0" w:color="FFFFFF"/>
              <w:bottom w:val="none" w:sz="0" w:space="0" w:color="FFFFFF"/>
              <w:right w:val="none" w:sz="0" w:space="0" w:color="FFFFFF"/>
            </w:tcBorders>
            <w:tcMar>
              <w:top w:w="60" w:type="dxa"/>
              <w:left w:w="80" w:type="dxa"/>
              <w:bottom w:w="60" w:type="dxa"/>
              <w:right w:w="80" w:type="dxa"/>
            </w:tcMar>
            <w:vAlign w:val="center"/>
          </w:tcPr>
          <w:p w14:paraId="3C897F4A" w14:textId="77777777" w:rsidR="0092201A" w:rsidRDefault="00300D78">
            <w:pPr>
              <w:jc w:val="center"/>
            </w:pPr>
            <w:r>
              <w:rPr>
                <w:noProof/>
              </w:rPr>
              <w:drawing>
                <wp:inline distT="0" distB="0" distL="0" distR="0" wp14:anchorId="156A87AD" wp14:editId="32E3ADB9">
                  <wp:extent cx="523875" cy="523875"/>
                  <wp:effectExtent l="0" t="0" r="0" b="0"/>
                  <wp:docPr id="1047187909" name="logo" descr="logo"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523875" cy="523875"/>
                          </a:xfrm>
                          <a:prstGeom prst="rect">
                            <a:avLst/>
                          </a:prstGeom>
                        </pic:spPr>
                      </pic:pic>
                    </a:graphicData>
                  </a:graphic>
                </wp:inline>
              </w:drawing>
            </w:r>
          </w:p>
        </w:tc>
        <w:tc>
          <w:tcPr>
            <w:tcW w:w="2340" w:type="dxa"/>
            <w:tcBorders>
              <w:top w:val="none" w:sz="0" w:space="0" w:color="FFFFFF"/>
              <w:left w:val="none" w:sz="0" w:space="0" w:color="FFFFFF"/>
              <w:bottom w:val="none" w:sz="0" w:space="0" w:color="FFFFFF"/>
              <w:right w:val="none" w:sz="0" w:space="0" w:color="FFFFFF"/>
            </w:tcBorders>
            <w:tcMar>
              <w:top w:w="60" w:type="dxa"/>
              <w:left w:w="80" w:type="dxa"/>
              <w:bottom w:w="60" w:type="dxa"/>
              <w:right w:w="80" w:type="dxa"/>
            </w:tcMar>
            <w:vAlign w:val="center"/>
          </w:tcPr>
          <w:p w14:paraId="01E51FDD" w14:textId="364E0314" w:rsidR="0092201A" w:rsidRDefault="0062373C">
            <w:pPr>
              <w:jc w:val="center"/>
            </w:pPr>
            <w:r>
              <w:rPr>
                <w:noProof/>
              </w:rPr>
              <w:drawing>
                <wp:inline distT="0" distB="0" distL="0" distR="0" wp14:anchorId="69D8D667" wp14:editId="33F1530E">
                  <wp:extent cx="389346" cy="413132"/>
                  <wp:effectExtent l="0" t="0" r="4445" b="6350"/>
                  <wp:docPr id="794797109"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797109" name="Immagine 794797109"/>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2575" cy="437780"/>
                          </a:xfrm>
                          <a:prstGeom prst="rect">
                            <a:avLst/>
                          </a:prstGeom>
                        </pic:spPr>
                      </pic:pic>
                    </a:graphicData>
                  </a:graphic>
                </wp:inline>
              </w:drawing>
            </w:r>
            <w:r w:rsidR="00300D78">
              <w:rPr>
                <w:noProof/>
              </w:rPr>
              <w:drawing>
                <wp:anchor distT="0" distB="0" distL="114300" distR="114300" simplePos="0" relativeHeight="251658240" behindDoc="0" locked="0" layoutInCell="1" allowOverlap="1" wp14:anchorId="638C5CAF" wp14:editId="5951CAD4">
                  <wp:simplePos x="0" y="0"/>
                  <wp:positionH relativeFrom="column">
                    <wp:posOffset>-351790</wp:posOffset>
                  </wp:positionH>
                  <wp:positionV relativeFrom="paragraph">
                    <wp:posOffset>-3175</wp:posOffset>
                  </wp:positionV>
                  <wp:extent cx="537210" cy="440690"/>
                  <wp:effectExtent l="0" t="0" r="0" b="3810"/>
                  <wp:wrapSquare wrapText="bothSides"/>
                  <wp:docPr id="1284103478" name="logo" descr="logo"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7210" cy="440690"/>
                          </a:xfrm>
                          <a:prstGeom prst="rect">
                            <a:avLst/>
                          </a:prstGeom>
                        </pic:spPr>
                      </pic:pic>
                    </a:graphicData>
                  </a:graphic>
                  <wp14:sizeRelH relativeFrom="page">
                    <wp14:pctWidth>0</wp14:pctWidth>
                  </wp14:sizeRelH>
                  <wp14:sizeRelV relativeFrom="page">
                    <wp14:pctHeight>0</wp14:pctHeight>
                  </wp14:sizeRelV>
                </wp:anchor>
              </w:drawing>
            </w:r>
          </w:p>
        </w:tc>
      </w:tr>
    </w:tbl>
    <w:p w14:paraId="5AD4FE10" w14:textId="77777777" w:rsidR="0092201A" w:rsidRDefault="0092201A">
      <w:pPr>
        <w:pBdr>
          <w:bottom w:val="single" w:sz="10" w:space="1" w:color="003366"/>
        </w:pBdr>
      </w:pPr>
    </w:p>
    <w:p w14:paraId="382399CF" w14:textId="77777777" w:rsidR="0092201A" w:rsidRDefault="0092201A">
      <w:pPr>
        <w:spacing w:before="160" w:after="100"/>
      </w:pPr>
    </w:p>
    <w:p w14:paraId="48D0668D" w14:textId="021B54AC" w:rsidR="0092201A" w:rsidRDefault="00300D78">
      <w:pPr>
        <w:spacing w:after="60"/>
        <w:jc w:val="center"/>
        <w:rPr>
          <w:b/>
          <w:bCs/>
          <w:caps/>
          <w:color w:val="003366"/>
          <w:spacing w:val="100"/>
          <w:sz w:val="18"/>
          <w:szCs w:val="18"/>
        </w:rPr>
      </w:pPr>
      <w:r>
        <w:rPr>
          <w:b/>
          <w:bCs/>
          <w:caps/>
          <w:color w:val="003366"/>
          <w:spacing w:val="100"/>
          <w:sz w:val="18"/>
          <w:szCs w:val="18"/>
        </w:rPr>
        <w:t>COMUNICATO STAMPA</w:t>
      </w:r>
      <w:r w:rsidR="00AB6EBE">
        <w:rPr>
          <w:b/>
          <w:bCs/>
          <w:caps/>
          <w:color w:val="003366"/>
          <w:spacing w:val="100"/>
          <w:sz w:val="18"/>
          <w:szCs w:val="18"/>
        </w:rPr>
        <w:t xml:space="preserve"> CONGIUNTO</w:t>
      </w:r>
    </w:p>
    <w:p w14:paraId="07A21BB0" w14:textId="77777777" w:rsidR="00D942A2" w:rsidRDefault="00D942A2">
      <w:pPr>
        <w:spacing w:after="60"/>
        <w:jc w:val="center"/>
      </w:pPr>
    </w:p>
    <w:p w14:paraId="6A7D662F" w14:textId="77777777" w:rsidR="00AB6EBE" w:rsidRDefault="00AB6EBE">
      <w:pPr>
        <w:spacing w:after="120"/>
        <w:jc w:val="center"/>
        <w:rPr>
          <w:i/>
          <w:iCs/>
          <w:color w:val="555555"/>
          <w:sz w:val="18"/>
          <w:szCs w:val="18"/>
        </w:rPr>
      </w:pPr>
    </w:p>
    <w:p w14:paraId="231E9668" w14:textId="623370DB" w:rsidR="0092201A" w:rsidRDefault="00300D78">
      <w:pPr>
        <w:spacing w:after="120"/>
        <w:jc w:val="center"/>
      </w:pPr>
      <w:r>
        <w:rPr>
          <w:b/>
          <w:bCs/>
          <w:color w:val="003366"/>
          <w:sz w:val="30"/>
          <w:szCs w:val="30"/>
        </w:rPr>
        <w:t>Una mostra fotografica e una tavola rotonda al Castello di Adelaide</w:t>
      </w:r>
    </w:p>
    <w:p w14:paraId="677CEB5F" w14:textId="77777777" w:rsidR="0092201A" w:rsidRDefault="00300D78">
      <w:pPr>
        <w:spacing w:after="360"/>
        <w:jc w:val="center"/>
      </w:pPr>
      <w:r>
        <w:rPr>
          <w:b/>
          <w:bCs/>
          <w:color w:val="003366"/>
          <w:sz w:val="30"/>
          <w:szCs w:val="30"/>
        </w:rPr>
        <w:t>a Susa per scoprire l’accoglienza familiare come metodo di cura</w:t>
      </w:r>
    </w:p>
    <w:p w14:paraId="3E5E8250" w14:textId="77777777" w:rsidR="0092201A" w:rsidRDefault="0092201A">
      <w:pPr>
        <w:pBdr>
          <w:bottom w:val="single" w:sz="4" w:space="1" w:color="CCCCCC"/>
        </w:pBdr>
      </w:pPr>
    </w:p>
    <w:p w14:paraId="4ABA18FE" w14:textId="77777777" w:rsidR="0092201A" w:rsidRDefault="0092201A">
      <w:pPr>
        <w:spacing w:before="220" w:after="100"/>
      </w:pPr>
    </w:p>
    <w:p w14:paraId="605DB19F" w14:textId="77777777" w:rsidR="0092201A" w:rsidRDefault="00300D78">
      <w:pPr>
        <w:spacing w:after="220" w:line="280" w:lineRule="auto"/>
        <w:jc w:val="both"/>
      </w:pPr>
      <w:r>
        <w:t>L’iniziativa si intitola “</w:t>
      </w:r>
      <w:r>
        <w:rPr>
          <w:i/>
          <w:iCs/>
        </w:rPr>
        <w:t>Diventa il cambiamento! L’accoglienza familiare come metodo di cura</w:t>
      </w:r>
      <w:r>
        <w:t xml:space="preserve">” ed è organizzata dal centro esperto regionale IESA dell’Asl To3, in collaborazione con il Comune di Susa, per </w:t>
      </w:r>
      <w:r>
        <w:rPr>
          <w:b/>
          <w:bCs/>
        </w:rPr>
        <w:t>sabato 30 maggio dalle 14,30 al Castello di Adelaide</w:t>
      </w:r>
      <w:r>
        <w:t>, in via Impero Romano a Susa. La mostra fotografica “</w:t>
      </w:r>
      <w:r>
        <w:rPr>
          <w:i/>
          <w:iCs/>
        </w:rPr>
        <w:t>Geel, la città dello IESA</w:t>
      </w:r>
      <w:r>
        <w:t xml:space="preserve">” (Inserimento </w:t>
      </w:r>
      <w:proofErr w:type="spellStart"/>
      <w:r>
        <w:t>Eterofamiliare</w:t>
      </w:r>
      <w:proofErr w:type="spellEnd"/>
      <w:r>
        <w:t xml:space="preserve"> Supportato di Adulti) e una tavola rotonda sul tema dell’accoglienza in famiglia quale strumento di supporto e inclusione per le persone con disagio psichico saranno le occasioni per far conoscere alla cittadinanza la possibilità di diventare parte attiva nella costruzione di percorsi di cura e sostegno dedicati alle persone più vulnerabili. Come? Mettendo a disposizione quella stanza inutilizzata nella propria abitazione e dedicando tempo di qualità agli altri, con il supporto di una équipe di professionisti appositamente formati e reperibili 7 giorni su 7 per 24 ore al giorno.</w:t>
      </w:r>
    </w:p>
    <w:p w14:paraId="05740971" w14:textId="77777777" w:rsidR="0092201A" w:rsidRDefault="00300D78">
      <w:pPr>
        <w:spacing w:after="220" w:line="280" w:lineRule="auto"/>
        <w:jc w:val="both"/>
      </w:pPr>
      <w:r>
        <w:t>Proprio a Geel, in Belgio, è nata la prima esperienza di utilizzo di questo strumento nella cura delle malattie mentali esportata poi negli altri paesi. Il Centro Esperto Regionale IESA dell’Asl To 3 opera da 29 anni sul territorio, con 392 progetti al suo attivo e 72 attualmente in gestione, e offre ai pazienti l’opportunità di vivere ed essere curati fuori dalle strutture, inseriti all’interno di famiglie volontarie. Far conoscere l’esperienza può incuriosire e invogliare nuovi nuclei familiari a partecipare a un metodo che ha ottenuto riconoscimenti a livello internazionale: l’Organizzazione Mondiale della Sanità ha individuato lo IESA come buona pratica all’interno delle linee guida per i servizi di salute mentale del 2021, sottolineandone gli aspetti di rispetto dei diritti umani e di effettiva inclusione sociale della persona con disagio psichico; l’Unesco nel 2024 ha inserito lo IESA all’interno dei patrimoni umanitari immateriali da tutelare, a partire dalla storica esperienza di Geel.</w:t>
      </w:r>
    </w:p>
    <w:p w14:paraId="4F9ADE03" w14:textId="77777777" w:rsidR="0092201A" w:rsidRDefault="00300D78">
      <w:pPr>
        <w:pBdr>
          <w:left w:val="single" w:sz="12" w:space="12" w:color="003366"/>
        </w:pBdr>
        <w:spacing w:before="60" w:after="160" w:line="280" w:lineRule="auto"/>
        <w:ind w:left="560" w:right="560"/>
        <w:jc w:val="both"/>
      </w:pPr>
      <w:r>
        <w:rPr>
          <w:i/>
          <w:iCs/>
        </w:rPr>
        <w:t xml:space="preserve">«L’inserimento </w:t>
      </w:r>
      <w:proofErr w:type="spellStart"/>
      <w:r>
        <w:rPr>
          <w:i/>
          <w:iCs/>
        </w:rPr>
        <w:t>eterofamiliare</w:t>
      </w:r>
      <w:proofErr w:type="spellEnd"/>
      <w:r>
        <w:rPr>
          <w:i/>
          <w:iCs/>
        </w:rPr>
        <w:t xml:space="preserve"> supportato di adulti, di cui la nostra Asl è Centro Esperto Regionale, è una modalità di approccio alle patologie mentali che supera l’aspetto puramente clinico e mette al centro la persona e la sua qualità di vita. È uno strumento riabilitativo, terapeutico e assistenziale che permette a soggetti fragili di raggiungere la maggiore autonomia possibile, grazie alla possibilità di vivere in un luogo in cui si esplicano dinamiche organizzative e affettive tipiche della famiglia, proseguendo il percorso di cura attraverso i centri di salute mentale e le altre strutture dedicate. Alla base ci sono l’accoglienza, la disponibilità verso l’altro e la volontà di mettere a disposizione tempo di qualità da offrire al prossimo. Iniziative come quella odierna contribuiscono attivamente a promuovere una maggiore consapevolezza dell’importanza </w:t>
      </w:r>
      <w:r>
        <w:rPr>
          <w:i/>
          <w:iCs/>
        </w:rPr>
        <w:lastRenderedPageBreak/>
        <w:t>del contributo che ciascuno può offrire diventando co-protagonista della costruzione di percorsi di cura e sostegno virtuosi nei confronti di persone fragili».</w:t>
      </w:r>
    </w:p>
    <w:p w14:paraId="0343E825" w14:textId="77777777" w:rsidR="0092201A" w:rsidRDefault="00300D78">
      <w:pPr>
        <w:spacing w:after="280"/>
        <w:ind w:left="560" w:right="560"/>
        <w:jc w:val="right"/>
      </w:pPr>
      <w:r>
        <w:rPr>
          <w:b/>
          <w:bCs/>
          <w:color w:val="003366"/>
          <w:sz w:val="20"/>
          <w:szCs w:val="20"/>
        </w:rPr>
        <w:t>Giovanni La Valle, Direttore Generale ASL TO3</w:t>
      </w:r>
    </w:p>
    <w:p w14:paraId="5F2D78C1" w14:textId="77777777" w:rsidR="0092201A" w:rsidRDefault="00300D78">
      <w:pPr>
        <w:pBdr>
          <w:left w:val="single" w:sz="12" w:space="12" w:color="C0392B"/>
        </w:pBdr>
        <w:spacing w:before="60" w:after="160" w:line="280" w:lineRule="auto"/>
        <w:ind w:left="560" w:right="560"/>
        <w:jc w:val="both"/>
      </w:pPr>
      <w:r>
        <w:rPr>
          <w:i/>
          <w:iCs/>
        </w:rPr>
        <w:t>«La Città di Susa è orgogliosa di ospitare un’iniziativa dedicata a un tema fondamentale come l’accoglienza e il sostegno alle persone più fragili. Il progetto IESA dell’ASL TO3 rappresenta un’eccellenza riconosciuta anche a livello internazionale, perché mette al centro la persona, le relazioni umane e l’inclusione sociale. Questo convegno e la mostra al Castello di Adelaide saranno un’importante occasione per conoscere esperienze concrete di solidarietà e partecipazione. Ringrazio gli operatori, le famiglie e tutti coloro che ogni giorno lavorano con sensibilità e professionalità in un ambito delicato e fondamentale per costruire legami e prospettive nelle nostre comunità.»</w:t>
      </w:r>
    </w:p>
    <w:p w14:paraId="6E7E6F7C" w14:textId="491E8C18" w:rsidR="0092201A" w:rsidRDefault="00300D78">
      <w:pPr>
        <w:spacing w:after="300"/>
        <w:ind w:left="560" w:right="560"/>
        <w:jc w:val="right"/>
      </w:pPr>
      <w:r>
        <w:rPr>
          <w:b/>
          <w:bCs/>
          <w:color w:val="C0392B"/>
          <w:sz w:val="20"/>
          <w:szCs w:val="20"/>
        </w:rPr>
        <w:t>Pier</w:t>
      </w:r>
      <w:r w:rsidR="0062373C">
        <w:rPr>
          <w:b/>
          <w:bCs/>
          <w:color w:val="C0392B"/>
          <w:sz w:val="20"/>
          <w:szCs w:val="20"/>
        </w:rPr>
        <w:t xml:space="preserve"> G</w:t>
      </w:r>
      <w:r>
        <w:rPr>
          <w:b/>
          <w:bCs/>
          <w:color w:val="C0392B"/>
          <w:sz w:val="20"/>
          <w:szCs w:val="20"/>
        </w:rPr>
        <w:t>iuseppe Genovese, Sindaco di Susa</w:t>
      </w:r>
    </w:p>
    <w:p w14:paraId="0387E40F" w14:textId="77777777" w:rsidR="0092201A" w:rsidRDefault="00300D78">
      <w:pPr>
        <w:spacing w:after="220" w:line="280" w:lineRule="auto"/>
        <w:jc w:val="both"/>
      </w:pPr>
      <w:r>
        <w:t xml:space="preserve">Durante la giornata, che coincide con la celebrazione di Santa Dymphna protettrice degli operatori della salute mentale e delle persone sofferenti di disagio psichico, potranno essere ascoltate le testimonianze dirette di un ospite, di un caregiver e di un operatore IESA, oltre agli interventi del sindaco di Susa Piero Genovese, del direttore del Dipartimento di Salute Mentale e Patologia delle Dipendenze nel Ciclo di Vita Alessandro Bonansea, del direttore della Psichiatria Area Nord Ferruccio Stanga, del direttore scientifico del Centro Esperto Regionale IESA Asl To3 e del Centro Europeo di Documentazione Ricerca e Formazione sullo IESA Gianfranco Aluffi, del direttore IESA OPZ di Geel in Belgio Wilfried Bogaerts, dell’autore del libro “Geel. La città dei matti” Renzo Villa, del direttore del Distretto Val Susa e Val Sangone Paolo Galizia e del direttore del </w:t>
      </w:r>
      <w:proofErr w:type="spellStart"/>
      <w:r>
        <w:t>Conisa</w:t>
      </w:r>
      <w:proofErr w:type="spellEnd"/>
      <w:r>
        <w:t xml:space="preserve"> Val Susa Val Sangone Barbara Mauri.</w:t>
      </w:r>
    </w:p>
    <w:p w14:paraId="0F44B83E" w14:textId="77777777" w:rsidR="0092201A" w:rsidRDefault="00300D78">
      <w:pPr>
        <w:spacing w:after="300" w:line="280" w:lineRule="auto"/>
        <w:jc w:val="both"/>
      </w:pPr>
      <w:r>
        <w:t>La mostra fotografica sarà inaugurata alle 16,30 e sarà visitabile fino al 14 giugno. Seguirà, alle 18, la santa messa in onore di Santa Dymphna nella cattedrale di Susa.</w:t>
      </w:r>
    </w:p>
    <w:p w14:paraId="5A5CDD1E" w14:textId="77777777" w:rsidR="0092201A" w:rsidRDefault="0092201A">
      <w:pPr>
        <w:pBdr>
          <w:bottom w:val="single" w:sz="8" w:space="1" w:color="003366"/>
        </w:pBdr>
      </w:pPr>
    </w:p>
    <w:p w14:paraId="379BA363" w14:textId="77777777" w:rsidR="0092201A" w:rsidRDefault="0092201A">
      <w:pPr>
        <w:spacing w:before="200" w:after="100"/>
      </w:pPr>
    </w:p>
    <w:p w14:paraId="68D7DE7C" w14:textId="77777777" w:rsidR="0092201A" w:rsidRDefault="00300D78">
      <w:pPr>
        <w:spacing w:after="60"/>
        <w:rPr>
          <w:b/>
          <w:bCs/>
          <w:caps/>
          <w:color w:val="003366"/>
          <w:spacing w:val="80"/>
          <w:sz w:val="20"/>
          <w:szCs w:val="20"/>
        </w:rPr>
      </w:pPr>
      <w:r>
        <w:rPr>
          <w:b/>
          <w:bCs/>
          <w:caps/>
          <w:color w:val="003366"/>
          <w:spacing w:val="80"/>
          <w:sz w:val="20"/>
          <w:szCs w:val="20"/>
        </w:rPr>
        <w:t>CONTATTI STAMPA</w:t>
      </w:r>
    </w:p>
    <w:p w14:paraId="768C232D" w14:textId="77777777" w:rsidR="00AB6EBE" w:rsidRDefault="00AB6EBE">
      <w:pPr>
        <w:spacing w:before="60" w:after="40"/>
        <w:rPr>
          <w:b/>
          <w:bCs/>
          <w:sz w:val="20"/>
          <w:szCs w:val="20"/>
        </w:rPr>
      </w:pPr>
    </w:p>
    <w:p w14:paraId="0468E71F" w14:textId="278A0FC8" w:rsidR="0092201A" w:rsidRDefault="00D942A2">
      <w:pPr>
        <w:spacing w:before="60" w:after="40"/>
      </w:pPr>
      <w:r>
        <w:rPr>
          <w:b/>
          <w:bCs/>
          <w:sz w:val="20"/>
          <w:szCs w:val="20"/>
        </w:rPr>
        <w:t xml:space="preserve">Castello di Adelaide - Museo Civico Archeologico della Città di Susa </w:t>
      </w:r>
    </w:p>
    <w:p w14:paraId="47773CFE" w14:textId="0915D8C6" w:rsidR="0092201A" w:rsidRDefault="00300D78">
      <w:pPr>
        <w:spacing w:after="40"/>
        <w:rPr>
          <w:color w:val="555555"/>
          <w:sz w:val="20"/>
          <w:szCs w:val="20"/>
        </w:rPr>
      </w:pPr>
      <w:r>
        <w:rPr>
          <w:color w:val="003366"/>
          <w:sz w:val="20"/>
          <w:szCs w:val="20"/>
        </w:rPr>
        <w:t>castello@comune.susa.to.it</w:t>
      </w:r>
      <w:r>
        <w:rPr>
          <w:color w:val="555555"/>
          <w:sz w:val="20"/>
          <w:szCs w:val="20"/>
        </w:rPr>
        <w:t xml:space="preserve">   |   </w:t>
      </w:r>
      <w:hyperlink r:id="rId10" w:history="1">
        <w:r w:rsidR="00AB6EBE" w:rsidRPr="005A7831">
          <w:rPr>
            <w:rStyle w:val="Collegamentoipertestuale"/>
            <w:sz w:val="20"/>
            <w:szCs w:val="20"/>
          </w:rPr>
          <w:t>castellosusa@gmail.com</w:t>
        </w:r>
      </w:hyperlink>
    </w:p>
    <w:p w14:paraId="162EC579" w14:textId="3403CC31" w:rsidR="00AB6EBE" w:rsidRDefault="00AB6EBE">
      <w:pPr>
        <w:spacing w:after="40"/>
      </w:pPr>
      <w:r>
        <w:rPr>
          <w:color w:val="555555"/>
          <w:sz w:val="20"/>
          <w:szCs w:val="20"/>
        </w:rPr>
        <w:t>Tel. 345 6124682</w:t>
      </w:r>
    </w:p>
    <w:p w14:paraId="446BC6F9" w14:textId="507707F5" w:rsidR="0092201A" w:rsidRDefault="00300D78" w:rsidP="00D942A2">
      <w:pPr>
        <w:spacing w:before="160"/>
        <w:rPr>
          <w:color w:val="555555"/>
          <w:sz w:val="18"/>
          <w:szCs w:val="18"/>
        </w:rPr>
      </w:pPr>
      <w:r>
        <w:rPr>
          <w:color w:val="555555"/>
          <w:sz w:val="18"/>
          <w:szCs w:val="18"/>
        </w:rPr>
        <w:t xml:space="preserve">Via Impero </w:t>
      </w:r>
      <w:proofErr w:type="gramStart"/>
      <w:r>
        <w:rPr>
          <w:color w:val="555555"/>
          <w:sz w:val="18"/>
          <w:szCs w:val="18"/>
        </w:rPr>
        <w:t>Romano</w:t>
      </w:r>
      <w:r w:rsidR="00AB6EBE">
        <w:rPr>
          <w:color w:val="555555"/>
          <w:sz w:val="18"/>
          <w:szCs w:val="18"/>
        </w:rPr>
        <w:t xml:space="preserve">, </w:t>
      </w:r>
      <w:r>
        <w:rPr>
          <w:color w:val="555555"/>
          <w:sz w:val="18"/>
          <w:szCs w:val="18"/>
        </w:rPr>
        <w:t xml:space="preserve"> 10059</w:t>
      </w:r>
      <w:proofErr w:type="gramEnd"/>
      <w:r>
        <w:rPr>
          <w:color w:val="555555"/>
          <w:sz w:val="18"/>
          <w:szCs w:val="18"/>
        </w:rPr>
        <w:t xml:space="preserve"> Susa (TO)</w:t>
      </w:r>
    </w:p>
    <w:p w14:paraId="3D63E3F2" w14:textId="77777777" w:rsidR="00AB6EBE" w:rsidRDefault="00AB6EBE" w:rsidP="00D942A2">
      <w:pPr>
        <w:spacing w:before="160"/>
        <w:rPr>
          <w:color w:val="555555"/>
          <w:sz w:val="18"/>
          <w:szCs w:val="18"/>
        </w:rPr>
      </w:pPr>
    </w:p>
    <w:p w14:paraId="393450B6" w14:textId="77777777" w:rsidR="00AB6EBE" w:rsidRDefault="00AB6EBE" w:rsidP="00AB6EBE">
      <w:pPr>
        <w:spacing w:before="40" w:after="40"/>
      </w:pPr>
      <w:r>
        <w:rPr>
          <w:b/>
          <w:bCs/>
          <w:sz w:val="20"/>
          <w:szCs w:val="20"/>
        </w:rPr>
        <w:t>Elisa Zunino – ASL TO3</w:t>
      </w:r>
    </w:p>
    <w:p w14:paraId="270936DA" w14:textId="77777777" w:rsidR="00AB6EBE" w:rsidRDefault="00AB6EBE" w:rsidP="00AB6EBE">
      <w:pPr>
        <w:spacing w:after="60"/>
        <w:rPr>
          <w:color w:val="555555"/>
          <w:sz w:val="20"/>
          <w:szCs w:val="20"/>
        </w:rPr>
      </w:pPr>
      <w:r>
        <w:rPr>
          <w:color w:val="003366"/>
          <w:sz w:val="20"/>
          <w:szCs w:val="20"/>
        </w:rPr>
        <w:t>elisa.zunino@aslto3.piemonte.it</w:t>
      </w:r>
      <w:r>
        <w:rPr>
          <w:color w:val="555555"/>
          <w:sz w:val="20"/>
          <w:szCs w:val="20"/>
        </w:rPr>
        <w:t xml:space="preserve">   |   011 4017104 – 347 0133060</w:t>
      </w:r>
    </w:p>
    <w:p w14:paraId="5050720E" w14:textId="77777777" w:rsidR="00AB6EBE" w:rsidRDefault="00AB6EBE" w:rsidP="00D942A2">
      <w:pPr>
        <w:spacing w:before="160"/>
      </w:pPr>
    </w:p>
    <w:sectPr w:rsidR="00AB6EBE">
      <w:pgSz w:w="11906" w:h="16838"/>
      <w:pgMar w:top="1134" w:right="1134" w:bottom="1134" w:left="1134"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6A6B57"/>
    <w:multiLevelType w:val="hybridMultilevel"/>
    <w:tmpl w:val="5940514E"/>
    <w:lvl w:ilvl="0" w:tplc="AEEE7C0A">
      <w:start w:val="1"/>
      <w:numFmt w:val="bullet"/>
      <w:lvlText w:val="●"/>
      <w:lvlJc w:val="left"/>
      <w:pPr>
        <w:ind w:left="720" w:hanging="360"/>
      </w:pPr>
    </w:lvl>
    <w:lvl w:ilvl="1" w:tplc="00F07912">
      <w:start w:val="1"/>
      <w:numFmt w:val="bullet"/>
      <w:lvlText w:val="○"/>
      <w:lvlJc w:val="left"/>
      <w:pPr>
        <w:ind w:left="1440" w:hanging="360"/>
      </w:pPr>
    </w:lvl>
    <w:lvl w:ilvl="2" w:tplc="28E64A02">
      <w:start w:val="1"/>
      <w:numFmt w:val="bullet"/>
      <w:lvlText w:val="■"/>
      <w:lvlJc w:val="left"/>
      <w:pPr>
        <w:ind w:left="2160" w:hanging="360"/>
      </w:pPr>
    </w:lvl>
    <w:lvl w:ilvl="3" w:tplc="A31CF51C">
      <w:start w:val="1"/>
      <w:numFmt w:val="bullet"/>
      <w:lvlText w:val="●"/>
      <w:lvlJc w:val="left"/>
      <w:pPr>
        <w:ind w:left="2880" w:hanging="360"/>
      </w:pPr>
    </w:lvl>
    <w:lvl w:ilvl="4" w:tplc="CCC8D024">
      <w:start w:val="1"/>
      <w:numFmt w:val="bullet"/>
      <w:lvlText w:val="○"/>
      <w:lvlJc w:val="left"/>
      <w:pPr>
        <w:ind w:left="3600" w:hanging="360"/>
      </w:pPr>
    </w:lvl>
    <w:lvl w:ilvl="5" w:tplc="A6B4EA1E">
      <w:start w:val="1"/>
      <w:numFmt w:val="bullet"/>
      <w:lvlText w:val="■"/>
      <w:lvlJc w:val="left"/>
      <w:pPr>
        <w:ind w:left="4320" w:hanging="360"/>
      </w:pPr>
    </w:lvl>
    <w:lvl w:ilvl="6" w:tplc="30629A3C">
      <w:start w:val="1"/>
      <w:numFmt w:val="bullet"/>
      <w:lvlText w:val="●"/>
      <w:lvlJc w:val="left"/>
      <w:pPr>
        <w:ind w:left="5040" w:hanging="360"/>
      </w:pPr>
    </w:lvl>
    <w:lvl w:ilvl="7" w:tplc="7EA63758">
      <w:start w:val="1"/>
      <w:numFmt w:val="bullet"/>
      <w:lvlText w:val="●"/>
      <w:lvlJc w:val="left"/>
      <w:pPr>
        <w:ind w:left="5760" w:hanging="360"/>
      </w:pPr>
    </w:lvl>
    <w:lvl w:ilvl="8" w:tplc="A4FCED80">
      <w:start w:val="1"/>
      <w:numFmt w:val="bullet"/>
      <w:lvlText w:val="●"/>
      <w:lvlJc w:val="left"/>
      <w:pPr>
        <w:ind w:left="6480" w:hanging="360"/>
      </w:pPr>
    </w:lvl>
  </w:abstractNum>
  <w:num w:numId="1" w16cid:durableId="164570095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displayBackgroundShape/>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201A"/>
    <w:rsid w:val="00300D78"/>
    <w:rsid w:val="0062373C"/>
    <w:rsid w:val="008A409C"/>
    <w:rsid w:val="0092201A"/>
    <w:rsid w:val="009D6745"/>
    <w:rsid w:val="00AB6EBE"/>
    <w:rsid w:val="00D942A2"/>
    <w:rsid w:val="00DC763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9384C"/>
  <w15:docId w15:val="{22A3B95C-D518-AE4A-AE8D-BE22FB713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22222"/>
        <w:sz w:val="22"/>
        <w:szCs w:val="22"/>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uiPriority w:val="9"/>
    <w:qFormat/>
    <w:pPr>
      <w:outlineLvl w:val="0"/>
    </w:pPr>
    <w:rPr>
      <w:color w:val="2E74B5"/>
      <w:sz w:val="32"/>
      <w:szCs w:val="32"/>
    </w:rPr>
  </w:style>
  <w:style w:type="paragraph" w:styleId="Titolo2">
    <w:name w:val="heading 2"/>
    <w:uiPriority w:val="9"/>
    <w:semiHidden/>
    <w:unhideWhenUsed/>
    <w:qFormat/>
    <w:pPr>
      <w:outlineLvl w:val="1"/>
    </w:pPr>
    <w:rPr>
      <w:color w:val="2E74B5"/>
      <w:sz w:val="26"/>
      <w:szCs w:val="26"/>
    </w:rPr>
  </w:style>
  <w:style w:type="paragraph" w:styleId="Titolo3">
    <w:name w:val="heading 3"/>
    <w:uiPriority w:val="9"/>
    <w:semiHidden/>
    <w:unhideWhenUsed/>
    <w:qFormat/>
    <w:pPr>
      <w:outlineLvl w:val="2"/>
    </w:pPr>
    <w:rPr>
      <w:color w:val="1F4D78"/>
      <w:sz w:val="24"/>
      <w:szCs w:val="24"/>
    </w:rPr>
  </w:style>
  <w:style w:type="paragraph" w:styleId="Titolo4">
    <w:name w:val="heading 4"/>
    <w:uiPriority w:val="9"/>
    <w:semiHidden/>
    <w:unhideWhenUsed/>
    <w:qFormat/>
    <w:pPr>
      <w:outlineLvl w:val="3"/>
    </w:pPr>
    <w:rPr>
      <w:i/>
      <w:iCs/>
      <w:color w:val="2E74B5"/>
    </w:rPr>
  </w:style>
  <w:style w:type="paragraph" w:styleId="Titolo5">
    <w:name w:val="heading 5"/>
    <w:uiPriority w:val="9"/>
    <w:semiHidden/>
    <w:unhideWhenUsed/>
    <w:qFormat/>
    <w:pPr>
      <w:outlineLvl w:val="4"/>
    </w:pPr>
    <w:rPr>
      <w:color w:val="2E74B5"/>
    </w:rPr>
  </w:style>
  <w:style w:type="paragraph" w:styleId="Titolo6">
    <w:name w:val="heading 6"/>
    <w:uiPriority w:val="9"/>
    <w:semiHidden/>
    <w:unhideWhenUsed/>
    <w:qFormat/>
    <w:pPr>
      <w:outlineLvl w:val="5"/>
    </w:pPr>
    <w:rPr>
      <w:color w:val="1F4D7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uiPriority w:val="10"/>
    <w:qFormat/>
    <w:rPr>
      <w:sz w:val="56"/>
      <w:szCs w:val="56"/>
    </w:rPr>
  </w:style>
  <w:style w:type="paragraph" w:customStyle="1" w:styleId="Enfasigrassetto1">
    <w:name w:val="Enfasi (grassetto)1"/>
    <w:qFormat/>
    <w:rPr>
      <w:b/>
      <w:bCs/>
    </w:rPr>
  </w:style>
  <w:style w:type="paragraph" w:styleId="Paragrafoelenco">
    <w:name w:val="List Paragraph"/>
    <w:qFormat/>
  </w:style>
  <w:style w:type="character" w:styleId="Collegamentoipertestuale">
    <w:name w:val="Hyperlink"/>
    <w:uiPriority w:val="99"/>
    <w:unhideWhenUsed/>
    <w:rPr>
      <w:color w:val="0563C1"/>
      <w:u w:val="single"/>
    </w:rPr>
  </w:style>
  <w:style w:type="character" w:styleId="Rimandonotaapidipagina">
    <w:name w:val="footnote reference"/>
    <w:uiPriority w:val="99"/>
    <w:semiHidden/>
    <w:unhideWhenUsed/>
    <w:rPr>
      <w:vertAlign w:val="superscript"/>
    </w:rPr>
  </w:style>
  <w:style w:type="paragraph" w:styleId="Testonotaapidipagina">
    <w:name w:val="footnote text"/>
    <w:link w:val="TestonotaapidipaginaCarattere"/>
    <w:uiPriority w:val="99"/>
    <w:semiHidden/>
    <w:unhideWhenUsed/>
    <w:rPr>
      <w:sz w:val="20"/>
      <w:szCs w:val="20"/>
    </w:rPr>
  </w:style>
  <w:style w:type="character" w:customStyle="1" w:styleId="TestonotaapidipaginaCarattere">
    <w:name w:val="Testo nota a piè di pagina Carattere"/>
    <w:link w:val="Testonotaapidipagina"/>
    <w:uiPriority w:val="99"/>
    <w:semiHidden/>
    <w:unhideWhenUsed/>
    <w:rPr>
      <w:sz w:val="20"/>
      <w:szCs w:val="20"/>
    </w:rPr>
  </w:style>
  <w:style w:type="character" w:styleId="Rimandonotadichiusura">
    <w:name w:val="endnote reference"/>
    <w:uiPriority w:val="99"/>
    <w:semiHidden/>
    <w:unhideWhenUsed/>
    <w:rPr>
      <w:vertAlign w:val="superscript"/>
    </w:rPr>
  </w:style>
  <w:style w:type="paragraph" w:styleId="Testonotadichiusura">
    <w:name w:val="endnote text"/>
    <w:link w:val="TestonotadichiusuraCarattere"/>
    <w:uiPriority w:val="99"/>
    <w:semiHidden/>
    <w:unhideWhenUsed/>
    <w:rPr>
      <w:sz w:val="20"/>
      <w:szCs w:val="20"/>
    </w:rPr>
  </w:style>
  <w:style w:type="character" w:customStyle="1" w:styleId="TestonotadichiusuraCarattere">
    <w:name w:val="Testo nota di chiusura Carattere"/>
    <w:link w:val="Testonotadichiusura"/>
    <w:uiPriority w:val="99"/>
    <w:semiHidden/>
    <w:unhideWhenUsed/>
    <w:rPr>
      <w:sz w:val="20"/>
      <w:szCs w:val="20"/>
    </w:rPr>
  </w:style>
  <w:style w:type="character" w:customStyle="1" w:styleId="Menzionenonrisolta1">
    <w:name w:val="Menzione non risolta1"/>
    <w:basedOn w:val="Carpredefinitoparagrafo"/>
    <w:uiPriority w:val="99"/>
    <w:semiHidden/>
    <w:unhideWhenUsed/>
    <w:rsid w:val="00AB6E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mailto:castellosusa@gmail.com" TargetMode="External"/><Relationship Id="rId4" Type="http://schemas.openxmlformats.org/officeDocument/2006/relationships/webSettings" Target="webSettings.xml"/><Relationship Id="rId9" Type="http://schemas.openxmlformats.org/officeDocument/2006/relationships/image" Target="media/image5.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stefano paschero</cp:lastModifiedBy>
  <cp:revision>2</cp:revision>
  <dcterms:created xsi:type="dcterms:W3CDTF">2026-05-22T14:03:00Z</dcterms:created>
  <dcterms:modified xsi:type="dcterms:W3CDTF">2026-05-22T14:03:00Z</dcterms:modified>
</cp:coreProperties>
</file>